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Shame Ledger Interrupt Card</w:t>
      </w:r>
    </w:p>
    <w:p>
      <w:pPr>
        <w:spacing w:after="60"/>
      </w:pPr>
      <w:r>
        <w:rPr>
          <w:rFonts w:ascii="Aptos" w:hAnsi="Aptos"/>
          <w:b w:val="0"/>
          <w:color w:val="5A5A5A"/>
          <w:sz w:val="18"/>
        </w:rPr>
        <w:t>Standing on the Ledge Quick Card | v1.0 | March 17, 2026</w:t>
      </w:r>
    </w:p>
    <w:p>
      <w:pPr>
        <w:spacing w:after="100"/>
      </w:pPr>
      <w:r>
        <w:rPr>
          <w:rFonts w:ascii="Aptos" w:hAnsi="Aptos"/>
          <w:b w:val="0"/>
          <w:color w:val="31495C"/>
          <w:sz w:val="20"/>
        </w:rPr>
        <w:t>A pocket reminder for when your inner narrative shifts from reflection into self-attack.</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The shame ledger does not correct you. It prosecutes you. This card helps you interrupt that shift before it hardens into identity.</w:t>
      </w:r>
    </w:p>
    <w:p>
      <w:pPr>
        <w:pStyle w:val="Heading1"/>
        <w:spacing w:before="80" w:after="60"/>
      </w:pPr>
      <w:r>
        <w:rPr>
          <w:rFonts w:ascii="Aptos" w:hAnsi="Aptos"/>
          <w:b/>
          <w:color w:val="31495C"/>
          <w:sz w:val="27"/>
        </w:rPr>
        <w:t>Signs you are in a shame ledger</w:t>
      </w:r>
    </w:p>
    <w:p>
      <w:pPr>
        <w:pStyle w:val="ListBullet"/>
        <w:spacing w:after="20"/>
      </w:pPr>
      <w:r>
        <w:rPr>
          <w:rFonts w:ascii="Aptos" w:hAnsi="Aptos"/>
          <w:b w:val="0"/>
          <w:sz w:val="21"/>
        </w:rPr>
        <w:t>You move from “I made a mistake” to “I am the mistake.”</w:t>
      </w:r>
    </w:p>
    <w:p>
      <w:pPr>
        <w:pStyle w:val="ListBullet"/>
        <w:spacing w:after="20"/>
      </w:pPr>
      <w:r>
        <w:rPr>
          <w:rFonts w:ascii="Aptos" w:hAnsi="Aptos"/>
          <w:b w:val="0"/>
          <w:sz w:val="21"/>
        </w:rPr>
        <w:t>Your mind turns one event into a total verdict on your character.</w:t>
      </w:r>
    </w:p>
    <w:p>
      <w:pPr>
        <w:pStyle w:val="ListBullet"/>
        <w:spacing w:after="20"/>
      </w:pPr>
      <w:r>
        <w:rPr>
          <w:rFonts w:ascii="Aptos" w:hAnsi="Aptos"/>
          <w:b w:val="0"/>
          <w:sz w:val="21"/>
        </w:rPr>
        <w:t>You start speaking to yourself in a voice you would never use on someone you care about.</w:t>
      </w:r>
    </w:p>
    <w:p>
      <w:pPr>
        <w:pStyle w:val="Heading1"/>
        <w:spacing w:before="80" w:after="60"/>
      </w:pPr>
      <w:r>
        <w:rPr>
          <w:rFonts w:ascii="Aptos" w:hAnsi="Aptos"/>
          <w:b/>
          <w:color w:val="31495C"/>
          <w:sz w:val="27"/>
        </w:rPr>
        <w:t>Interrupt sequence</w:t>
      </w:r>
    </w:p>
    <w:p>
      <w:pPr>
        <w:spacing w:after="20"/>
        <w:ind w:left="216"/>
      </w:pPr>
      <w:r>
        <w:rPr>
          <w:rFonts w:ascii="Aptos" w:hAnsi="Aptos"/>
          <w:b w:val="0"/>
          <w:sz w:val="21"/>
        </w:rPr>
        <w:t>1. Say it plainly: “This is shame talking.”</w:t>
      </w:r>
    </w:p>
    <w:p>
      <w:pPr>
        <w:spacing w:after="20"/>
        <w:ind w:left="216"/>
      </w:pPr>
      <w:r>
        <w:rPr>
          <w:rFonts w:ascii="Aptos" w:hAnsi="Aptos"/>
          <w:b w:val="0"/>
          <w:sz w:val="21"/>
        </w:rPr>
        <w:t>2. Put both feet on the floor and slow your breathing.</w:t>
      </w:r>
    </w:p>
    <w:p>
      <w:pPr>
        <w:spacing w:after="20"/>
        <w:ind w:left="216"/>
      </w:pPr>
      <w:r>
        <w:rPr>
          <w:rFonts w:ascii="Aptos" w:hAnsi="Aptos"/>
          <w:b w:val="0"/>
          <w:sz w:val="21"/>
        </w:rPr>
        <w:t>3. Replace verdict language with event language.</w:t>
      </w:r>
    </w:p>
    <w:p>
      <w:pPr>
        <w:spacing w:after="20"/>
        <w:ind w:left="216"/>
      </w:pPr>
      <w:r>
        <w:rPr>
          <w:rFonts w:ascii="Aptos" w:hAnsi="Aptos"/>
          <w:b w:val="0"/>
          <w:sz w:val="21"/>
        </w:rPr>
        <w:t>4. Ask what repair, if any, is actually needed.</w:t>
      </w:r>
    </w:p>
    <w:p>
      <w:pPr>
        <w:spacing w:after="20"/>
        <w:ind w:left="216"/>
      </w:pPr>
      <w:r>
        <w:rPr>
          <w:rFonts w:ascii="Aptos" w:hAnsi="Aptos"/>
          <w:b w:val="0"/>
          <w:sz w:val="21"/>
        </w:rPr>
        <w:t>5. Return to evidence before returning to interpretation.</w:t>
      </w:r>
    </w:p>
    <w:p>
      <w:pPr>
        <w:pStyle w:val="Heading1"/>
        <w:spacing w:before="80" w:after="60"/>
      </w:pPr>
      <w:r>
        <w:rPr>
          <w:rFonts w:ascii="Aptos" w:hAnsi="Aptos"/>
          <w:b/>
          <w:color w:val="31495C"/>
          <w:sz w:val="27"/>
        </w:rPr>
        <w:t>Replace these lines</w:t>
      </w:r>
    </w:p>
    <w:tbl>
      <w:tblPr>
        <w:tblStyle w:val="TableGrid"/>
        <w:tblW w:type="auto" w:w="0"/>
        <w:jc w:val="center"/>
        <w:tblLayout w:type="fixed"/>
        <w:tblLook w:firstColumn="1" w:firstRow="1" w:lastColumn="0" w:lastRow="0" w:noHBand="0" w:noVBand="1" w:val="04A0"/>
      </w:tblPr>
      <w:tblGrid>
        <w:gridCol w:w="5040"/>
        <w:gridCol w:w="5040"/>
      </w:tblGrid>
      <w:tr>
        <w:tc>
          <w:tcPr>
            <w:tcW w:type="dxa" w:w="3888"/>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Instead of</w:t>
            </w:r>
          </w:p>
        </w:tc>
        <w:tc>
          <w:tcPr>
            <w:tcW w:type="dxa" w:w="5472"/>
            <w:shd w:fill="D9E2F3"/>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18"/>
              </w:rPr>
              <w:t>Try</w:t>
            </w:r>
          </w:p>
        </w:tc>
      </w:tr>
      <w:tr>
        <w:tc>
          <w:tcPr>
            <w:tcW w:type="dxa" w:w="388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I always ruin things.</w:t>
            </w:r>
          </w:p>
        </w:tc>
        <w:tc>
          <w:tcPr>
            <w:tcW w:type="dxa" w:w="547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Something went wrong here. What specifically happened?</w:t>
            </w:r>
          </w:p>
        </w:tc>
      </w:tr>
      <w:tr>
        <w:tc>
          <w:tcPr>
            <w:tcW w:type="dxa" w:w="388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This proves who I am.</w:t>
            </w:r>
          </w:p>
        </w:tc>
        <w:tc>
          <w:tcPr>
            <w:tcW w:type="dxa" w:w="547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This is data, not destiny.</w:t>
            </w:r>
          </w:p>
        </w:tc>
      </w:tr>
      <w:tr>
        <w:tc>
          <w:tcPr>
            <w:tcW w:type="dxa" w:w="3888"/>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I should have known better.</w:t>
            </w:r>
          </w:p>
        </w:tc>
        <w:tc>
          <w:tcPr>
            <w:tcW w:type="dxa" w:w="5472"/>
            <w:tcBorders>
              <w:top w:val="single" w:sz="6" w:color="AAB7C4" w:space="0"/>
              <w:left w:val="single" w:sz="6" w:color="AAB7C4" w:space="0"/>
              <w:bottom w:val="single" w:sz="6" w:color="AAB7C4" w:space="0"/>
              <w:right w:val="single" w:sz="6" w:color="AAB7C4" w:space="0"/>
            </w:tcBorders>
            <w:vAlign w:val="center"/>
          </w:tcPr>
          <w:p>
            <w:pPr>
              <w:spacing w:after="20"/>
            </w:pPr>
            <w:r>
              <w:rPr>
                <w:rFonts w:ascii="Aptos" w:hAnsi="Aptos"/>
                <w:b w:val="0"/>
                <w:sz w:val="18"/>
              </w:rPr>
              <w:t>What was reasonable to know at the time?</w:t>
            </w:r>
          </w:p>
        </w:tc>
      </w:tr>
    </w:tbl>
    <w:p/>
    <w:p>
      <w:pPr>
        <w:pStyle w:val="Heading1"/>
        <w:spacing w:before="80" w:after="60"/>
      </w:pPr>
      <w:r>
        <w:rPr>
          <w:rFonts w:ascii="Aptos" w:hAnsi="Aptos"/>
          <w:b/>
          <w:color w:val="31495C"/>
          <w:sz w:val="27"/>
        </w:rPr>
        <w:t>Closing reminder</w:t>
      </w:r>
    </w:p>
    <w:p>
      <w:pPr>
        <w:spacing w:after="80"/>
      </w:pPr>
      <w:r>
        <w:rPr>
          <w:rFonts w:ascii="Aptos" w:hAnsi="Aptos"/>
          <w:b w:val="0"/>
          <w:sz w:val="21"/>
        </w:rPr>
        <w:t>You do not need to agree with every accusation your nervous system throws at you.</w:t>
      </w:r>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Shame Ledger Interrupt Card</dc:title>
  <dc:subject>Standing on the Ledge Quick Cards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