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Hold the Line Card</w:t>
      </w:r>
    </w:p>
    <w:p>
      <w:pPr>
        <w:spacing w:after="60"/>
      </w:pPr>
      <w:r>
        <w:rPr>
          <w:rFonts w:ascii="Aptos" w:hAnsi="Aptos"/>
          <w:b w:val="0"/>
          <w:color w:val="5A5A5A"/>
          <w:sz w:val="18"/>
        </w:rPr>
        <w:t>Standing on the Ledge Quick Card | v1.0 | March 17, 2026</w:t>
      </w:r>
    </w:p>
    <w:p>
      <w:pPr>
        <w:spacing w:after="100"/>
      </w:pPr>
      <w:r>
        <w:rPr>
          <w:rFonts w:ascii="Aptos" w:hAnsi="Aptos"/>
          <w:b w:val="0"/>
          <w:color w:val="31495C"/>
          <w:sz w:val="20"/>
        </w:rPr>
        <w:t>A boundary reminder for moments when pressure, guilt, or manipulation tries to move you off center.</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Holding the line is not aggression. It is the act of staying attached to reality, your limits, and your own judgment long enough to respond instead of fold.</w:t>
      </w:r>
    </w:p>
    <w:p>
      <w:pPr>
        <w:pStyle w:val="Heading1"/>
        <w:spacing w:before="80" w:after="60"/>
      </w:pPr>
      <w:r>
        <w:rPr>
          <w:rFonts w:ascii="Aptos" w:hAnsi="Aptos"/>
          <w:b/>
          <w:color w:val="31495C"/>
          <w:sz w:val="27"/>
        </w:rPr>
        <w:t>Remember</w:t>
      </w:r>
    </w:p>
    <w:p>
      <w:pPr>
        <w:pStyle w:val="ListBullet"/>
        <w:spacing w:after="20"/>
      </w:pPr>
      <w:r>
        <w:rPr>
          <w:rFonts w:ascii="Aptos" w:hAnsi="Aptos"/>
          <w:b w:val="0"/>
          <w:sz w:val="21"/>
        </w:rPr>
        <w:t>You are allowed to pause.</w:t>
      </w:r>
    </w:p>
    <w:p>
      <w:pPr>
        <w:pStyle w:val="ListBullet"/>
        <w:spacing w:after="20"/>
      </w:pPr>
      <w:r>
        <w:rPr>
          <w:rFonts w:ascii="Aptos" w:hAnsi="Aptos"/>
          <w:b w:val="0"/>
          <w:sz w:val="21"/>
        </w:rPr>
        <w:t>You are allowed to ask for clarity.</w:t>
      </w:r>
    </w:p>
    <w:p>
      <w:pPr>
        <w:pStyle w:val="ListBullet"/>
        <w:spacing w:after="20"/>
      </w:pPr>
      <w:r>
        <w:rPr>
          <w:rFonts w:ascii="Aptos" w:hAnsi="Aptos"/>
          <w:b w:val="0"/>
          <w:sz w:val="21"/>
        </w:rPr>
        <w:t>You are allowed to say no without writing a dissertation about it.</w:t>
      </w:r>
    </w:p>
    <w:p>
      <w:pPr>
        <w:pStyle w:val="Heading1"/>
        <w:spacing w:before="80" w:after="60"/>
      </w:pPr>
      <w:r>
        <w:rPr>
          <w:rFonts w:ascii="Aptos" w:hAnsi="Aptos"/>
          <w:b/>
          <w:color w:val="31495C"/>
          <w:sz w:val="27"/>
        </w:rPr>
        <w:t>Useful lines</w:t>
      </w:r>
    </w:p>
    <w:p>
      <w:pPr>
        <w:pStyle w:val="ListBullet"/>
        <w:spacing w:after="20"/>
      </w:pPr>
      <w:r>
        <w:rPr>
          <w:rFonts w:ascii="Aptos" w:hAnsi="Aptos"/>
          <w:b w:val="0"/>
          <w:sz w:val="21"/>
        </w:rPr>
        <w:t>That does not work for me.</w:t>
      </w:r>
    </w:p>
    <w:p>
      <w:pPr>
        <w:pStyle w:val="ListBullet"/>
        <w:spacing w:after="20"/>
      </w:pPr>
      <w:r>
        <w:rPr>
          <w:rFonts w:ascii="Aptos" w:hAnsi="Aptos"/>
          <w:b w:val="0"/>
          <w:sz w:val="21"/>
        </w:rPr>
        <w:t>I am not agreeing to that today.</w:t>
      </w:r>
    </w:p>
    <w:p>
      <w:pPr>
        <w:pStyle w:val="ListBullet"/>
        <w:spacing w:after="20"/>
      </w:pPr>
      <w:r>
        <w:rPr>
          <w:rFonts w:ascii="Aptos" w:hAnsi="Aptos"/>
          <w:b w:val="0"/>
          <w:sz w:val="21"/>
        </w:rPr>
        <w:t>I need time before I respond.</w:t>
      </w:r>
    </w:p>
    <w:p>
      <w:pPr>
        <w:pStyle w:val="ListBullet"/>
        <w:spacing w:after="20"/>
      </w:pPr>
      <w:r>
        <w:rPr>
          <w:rFonts w:ascii="Aptos" w:hAnsi="Aptos"/>
          <w:b w:val="0"/>
          <w:sz w:val="21"/>
        </w:rPr>
        <w:t>I heard you. My answer is still no.</w:t>
      </w:r>
    </w:p>
    <w:p>
      <w:pPr>
        <w:pStyle w:val="Heading1"/>
        <w:spacing w:before="80" w:after="60"/>
      </w:pPr>
      <w:r>
        <w:rPr>
          <w:rFonts w:ascii="Aptos" w:hAnsi="Aptos"/>
          <w:b/>
          <w:color w:val="31495C"/>
          <w:sz w:val="27"/>
        </w:rPr>
        <w:t>Check yourself before responding</w:t>
      </w:r>
    </w:p>
    <w:p>
      <w:pPr>
        <w:spacing w:after="20"/>
      </w:pPr>
      <w:r>
        <w:rPr>
          <w:rFonts w:ascii="Aptos" w:hAnsi="Aptos"/>
          <w:b/>
          <w:color w:val="31495C"/>
          <w:sz w:val="20"/>
        </w:rPr>
        <w:t>Am I reacting from fear, guilt, or clarity?</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exactly is being asked of me?</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line is being crossed?</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is the calmest firm response available?</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Closing reminder</w:t>
      </w:r>
    </w:p>
    <w:p>
      <w:pPr>
        <w:spacing w:after="80"/>
      </w:pPr>
      <w:r>
        <w:rPr>
          <w:rFonts w:ascii="Aptos" w:hAnsi="Aptos"/>
          <w:b w:val="0"/>
          <w:sz w:val="21"/>
        </w:rPr>
        <w:t>Boundaries do not become invalid just because someone dislikes them.</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Hold the Line Card</dc:title>
  <dc:subject>Standing on the Ledge Quick Cards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